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5" w:rsidRDefault="00733E15" w:rsidP="00733E15">
      <w:pPr>
        <w:jc w:val="center"/>
        <w:rPr>
          <w:b/>
        </w:rPr>
      </w:pPr>
      <w:r>
        <w:rPr>
          <w:b/>
        </w:rPr>
        <w:t>ТРЕБОВАНИЯ ДЛЯ ПОСТУПЛЕНИЯ НА МУНИЦИПАЛЬНУЮ СЛУЖБУ</w:t>
      </w:r>
    </w:p>
    <w:p w:rsidR="00733E15" w:rsidRDefault="00733E15" w:rsidP="00733E15"/>
    <w:p w:rsidR="00733E15" w:rsidRDefault="00733E15" w:rsidP="00733E15">
      <w:pPr>
        <w:pStyle w:val="font7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На муниципальную службу вправе поступать граждане, достигшие возраста 18 лет,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установленными муниципальными правовыми актами на основе типовых квалификационных требований.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При поступлении на муниципальную службу, а также при её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особенностей, предусмотренных Федеральным законом «О муниципальной службе в Российской Федерации».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 гражданином заключается трудовой договор (контракт), и он приступает к исполнению своих обязанностей по замещению муниципальной должности муниципальной службы.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Согласно законодательству замещение муниципальной должности может происходить по результатам конкурса,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Претенденту может быть отказано в допуске к участию в конкурсе в связи с его несоответствием квалификационным требованиям по вакантной должности, а также в связи с ограничениями, установленными законодательством для поступления на муниципальную службу и её прохождения. Претендент, не допущенный к участию в конкурсе, вправе обжаловать это решение.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Для выявления наиболее подходящего лица для замещения муниципальной должности может проводиться конкурс документов (без личного участия претендентов) либо конкурс-испытание.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Порядок проведения конкурса на замещение должности муниципальной службы, общее число членов конкурсной комиссии в муниципальном образовании и порядок её формирования, устанавливаются муниципальным правовым актом, принимаемым представительным органом муниципального образования.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  <w:r>
        <w:rPr>
          <w:rFonts w:ascii="inherit" w:hAnsi="inherit"/>
          <w:color w:val="444444"/>
          <w:sz w:val="21"/>
          <w:szCs w:val="21"/>
        </w:rPr>
        <w:t> </w:t>
      </w:r>
    </w:p>
    <w:p w:rsidR="00733E15" w:rsidRDefault="00733E15" w:rsidP="00733E15"/>
    <w:p w:rsidR="00733E15" w:rsidRDefault="00733E15" w:rsidP="00733E15"/>
    <w:p w:rsidR="00733E15" w:rsidRDefault="00733E15" w:rsidP="00733E15"/>
    <w:p w:rsidR="00733E15" w:rsidRDefault="00733E15" w:rsidP="00733E15">
      <w:pPr>
        <w:pStyle w:val="3"/>
        <w:pBdr>
          <w:bottom w:val="dotted" w:sz="6" w:space="15" w:color="auto"/>
        </w:pBdr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</w:rPr>
      </w:pPr>
      <w:r>
        <w:rPr>
          <w:rStyle w:val="color20"/>
          <w:rFonts w:ascii="inherit" w:hAnsi="inherit"/>
          <w:bdr w:val="none" w:sz="0" w:space="0" w:color="auto" w:frame="1"/>
        </w:rPr>
        <w:lastRenderedPageBreak/>
        <w:t>Типовые квалификационные требования для замещения должностей муниципальной службы:</w:t>
      </w:r>
      <w:r>
        <w:rPr>
          <w:rFonts w:ascii="inherit" w:hAnsi="inherit"/>
          <w:sz w:val="18"/>
          <w:szCs w:val="18"/>
          <w:bdr w:val="none" w:sz="0" w:space="0" w:color="auto" w:frame="1"/>
        </w:rPr>
        <w:t> 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1) высшие должности муниципальной службы – высшее профессиональное образование, стаж муниципальной службы (государственной службы) не менее трёх лет или стаж работы по специальности не менее трёх лет, а также знание Конституции Российской Федерации, федеральных законов,  законов Республики Башкортостан 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 умение пользоваться персональным компьютером и другой организационной техникой;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2) главные должности муниципальной службы – высшее профессиональное образование, стаж муниципальной службы (государственной службы) не менее трёх лет или стаж работы по специальности не менее трёх лет, а также знание Конституции Российской Федерации, федеральных законов, законов Республики Башкортостан,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3) ведущие должности муниципальной службы – среднее профессиональное образование, стаж работы по специальности не менее 5 лет или высшее профессиональное образование, а также знание Конституции Российской Федерации, федеральных законов,  законов РБ,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3) старшие должности муниципальной службы – среднее профессиональное образование, стаж работы по специальности не менее 5 лет или высшее профессиональное образование, а также знание Конституции Российской Федерации, федеральных законов,  законов РБ, устава муниципального образования, иных нормативных правовых актов, регулирующих сферу деятельности по соответствующей должности, основ экономики и организации труда, правил делового этикета; навыки </w:t>
      </w: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lastRenderedPageBreak/>
        <w:t>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 умение пользоваться персональным компьютером и другой организационной техникой;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4) младшие должности муниципальной службы – среднее профессиональное образование, а также знание Конституции Российской Федерации,  Устава муниципального образования, других нормативно-правовых актов применительно к должностным обязанностям по соответствующей должности, инструктивно-методических документов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p w:rsidR="00733E15" w:rsidRDefault="00733E15" w:rsidP="00733E15"/>
    <w:p w:rsidR="00733E15" w:rsidRDefault="00733E15" w:rsidP="00733E15">
      <w:pPr>
        <w:jc w:val="center"/>
        <w:rPr>
          <w:b/>
        </w:rPr>
      </w:pPr>
      <w:r>
        <w:rPr>
          <w:b/>
        </w:rPr>
        <w:t>ДОКУМЕНТЫ ПРИ ПОСТУПЛЕНИИ НА МУНИЦАПАЛЬНУЮ СЛУЖБУ</w:t>
      </w:r>
    </w:p>
    <w:p w:rsidR="00733E15" w:rsidRDefault="00733E15" w:rsidP="00733E15">
      <w:pPr>
        <w:jc w:val="center"/>
        <w:rPr>
          <w:b/>
        </w:rPr>
      </w:pP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3) паспорт;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4) трудовую книжку, за исключением случаев, когда трудовой договор (контракт) заключается впервые;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5) документ об образовании;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7)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8) документы воинского учёта – для граждан, пребывающих в запасе, и лиц, подлежащих призыву на военную службу;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9) заключение медицинской организации об отсутствии заболевания, препятствующего поступлению на муниципальную службу (форма 001-ГС/у);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33E15" w:rsidRDefault="00733E15" w:rsidP="00733E15">
      <w:pPr>
        <w:pStyle w:val="font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Style w:val="color20"/>
          <w:rFonts w:ascii="inherit" w:hAnsi="inherit"/>
          <w:color w:val="444444"/>
          <w:sz w:val="21"/>
          <w:szCs w:val="21"/>
          <w:bdr w:val="none" w:sz="0" w:space="0" w:color="auto" w:frame="1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33E15" w:rsidRDefault="00733E15" w:rsidP="00733E15">
      <w:pPr>
        <w:jc w:val="center"/>
        <w:rPr>
          <w:b/>
        </w:rPr>
      </w:pPr>
    </w:p>
    <w:p w:rsidR="00733E15" w:rsidRDefault="00733E15" w:rsidP="00733E15">
      <w:pPr>
        <w:jc w:val="center"/>
        <w:rPr>
          <w:b/>
        </w:rPr>
      </w:pPr>
    </w:p>
    <w:p w:rsidR="006D7542" w:rsidRDefault="006D7542">
      <w:bookmarkStart w:id="0" w:name="_GoBack"/>
      <w:bookmarkEnd w:id="0"/>
    </w:p>
    <w:sectPr w:rsidR="006D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15"/>
    <w:rsid w:val="006D7542"/>
    <w:rsid w:val="007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33E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3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7">
    <w:name w:val="font_7"/>
    <w:basedOn w:val="a"/>
    <w:rsid w:val="00733E15"/>
    <w:pPr>
      <w:spacing w:before="100" w:beforeAutospacing="1" w:after="100" w:afterAutospacing="1"/>
    </w:pPr>
  </w:style>
  <w:style w:type="character" w:customStyle="1" w:styleId="color20">
    <w:name w:val="color_20"/>
    <w:basedOn w:val="a0"/>
    <w:rsid w:val="0073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33E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3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7">
    <w:name w:val="font_7"/>
    <w:basedOn w:val="a"/>
    <w:rsid w:val="00733E15"/>
    <w:pPr>
      <w:spacing w:before="100" w:beforeAutospacing="1" w:after="100" w:afterAutospacing="1"/>
    </w:pPr>
  </w:style>
  <w:style w:type="character" w:customStyle="1" w:styleId="color20">
    <w:name w:val="color_20"/>
    <w:basedOn w:val="a0"/>
    <w:rsid w:val="0073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7247</Characters>
  <Application>Microsoft Office Word</Application>
  <DocSecurity>0</DocSecurity>
  <Lines>60</Lines>
  <Paragraphs>17</Paragraphs>
  <ScaleCrop>false</ScaleCrop>
  <Company>Home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2017-06-14T06:42:00Z</dcterms:created>
  <dcterms:modified xsi:type="dcterms:W3CDTF">2017-06-14T06:42:00Z</dcterms:modified>
</cp:coreProperties>
</file>