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9FA6" w14:textId="687ADDEB" w:rsidR="009F65C6" w:rsidRPr="0076369B" w:rsidRDefault="005D6757"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r w:rsidRPr="0076369B">
        <w:rPr>
          <w:color w:val="000000"/>
          <w:sz w:val="28"/>
          <w:szCs w:val="28"/>
        </w:rPr>
        <w:t>Главам сельских поселений муниципального района Благовещенский район</w:t>
      </w:r>
      <w:r w:rsidR="0076369B" w:rsidRPr="0076369B">
        <w:rPr>
          <w:color w:val="000000"/>
          <w:sz w:val="28"/>
          <w:szCs w:val="28"/>
        </w:rPr>
        <w:t xml:space="preserve"> Республики Башкортостан</w:t>
      </w:r>
    </w:p>
    <w:p w14:paraId="212BC58F" w14:textId="59EFDADD" w:rsidR="002A3221" w:rsidRPr="0076369B" w:rsidRDefault="002A3221"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1AC31EA" w14:textId="2603D1D9"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7B9644A0" w14:textId="4ED3A350"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282D1133" w14:textId="77777777"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3455712" w14:textId="405AF20A" w:rsidR="00121AC4" w:rsidRPr="0076369B" w:rsidRDefault="00121AC4" w:rsidP="006D6B73">
      <w:pPr>
        <w:pStyle w:val="msonormalmailrucssattributepostfix"/>
        <w:shd w:val="clear" w:color="auto" w:fill="FFFFFF"/>
        <w:spacing w:before="0" w:beforeAutospacing="0" w:after="0" w:afterAutospacing="0" w:line="240" w:lineRule="exact"/>
        <w:jc w:val="both"/>
        <w:rPr>
          <w:color w:val="000000"/>
          <w:sz w:val="28"/>
          <w:szCs w:val="28"/>
        </w:rPr>
      </w:pPr>
      <w:bookmarkStart w:id="0" w:name="_Hlk126664129"/>
    </w:p>
    <w:p w14:paraId="5CF8520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6F5B7A3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3EAF627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96A7D03"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20010850"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CED29E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bookmarkStart w:id="1" w:name="_GoBack"/>
      <w:bookmarkEnd w:id="1"/>
    </w:p>
    <w:p w14:paraId="150E9B52" w14:textId="62A8B323" w:rsidR="00C92ED8" w:rsidRPr="007E7B5B" w:rsidRDefault="000A6F74" w:rsidP="007E7B5B">
      <w:pPr>
        <w:pStyle w:val="msonormalmailrucssattributepostfix"/>
        <w:shd w:val="clear" w:color="auto" w:fill="FFFFFF"/>
        <w:spacing w:before="0" w:beforeAutospacing="0" w:after="0" w:afterAutospacing="0"/>
        <w:ind w:firstLine="709"/>
        <w:jc w:val="both"/>
        <w:rPr>
          <w:color w:val="000000"/>
          <w:sz w:val="28"/>
          <w:szCs w:val="28"/>
        </w:rPr>
      </w:pPr>
      <w:r w:rsidRPr="0076369B">
        <w:rPr>
          <w:color w:val="000000"/>
          <w:sz w:val="28"/>
          <w:szCs w:val="28"/>
        </w:rPr>
        <w:t>Предлага</w:t>
      </w:r>
      <w:r w:rsidR="001F72D8" w:rsidRPr="0076369B">
        <w:rPr>
          <w:color w:val="000000"/>
          <w:sz w:val="28"/>
          <w:szCs w:val="28"/>
        </w:rPr>
        <w:t>ю</w:t>
      </w:r>
      <w:r w:rsidRPr="0076369B">
        <w:rPr>
          <w:color w:val="000000"/>
          <w:sz w:val="28"/>
          <w:szCs w:val="28"/>
        </w:rPr>
        <w:t xml:space="preserve"> </w:t>
      </w:r>
      <w:r w:rsidR="00205335" w:rsidRPr="0076369B">
        <w:rPr>
          <w:color w:val="000000"/>
          <w:sz w:val="28"/>
          <w:szCs w:val="28"/>
        </w:rPr>
        <w:t>опубликовать</w:t>
      </w:r>
      <w:r w:rsidR="00E17657" w:rsidRPr="0076369B">
        <w:rPr>
          <w:color w:val="000000"/>
          <w:sz w:val="28"/>
          <w:szCs w:val="28"/>
        </w:rPr>
        <w:t xml:space="preserve"> на официальном сайте </w:t>
      </w:r>
      <w:r w:rsidRPr="0076369B">
        <w:rPr>
          <w:color w:val="000000"/>
          <w:sz w:val="28"/>
          <w:szCs w:val="28"/>
        </w:rPr>
        <w:t>следующ</w:t>
      </w:r>
      <w:r w:rsidR="00B551D7" w:rsidRPr="0076369B">
        <w:rPr>
          <w:color w:val="000000"/>
          <w:sz w:val="28"/>
          <w:szCs w:val="28"/>
        </w:rPr>
        <w:t>ую информацию</w:t>
      </w:r>
      <w:r w:rsidRPr="0076369B">
        <w:rPr>
          <w:color w:val="000000"/>
          <w:sz w:val="28"/>
          <w:szCs w:val="28"/>
        </w:rPr>
        <w:t xml:space="preserve"> </w:t>
      </w:r>
      <w:r w:rsidR="000B4BBF" w:rsidRPr="007E7B5B">
        <w:rPr>
          <w:color w:val="000000"/>
          <w:sz w:val="28"/>
          <w:szCs w:val="28"/>
        </w:rPr>
        <w:t>для анализа состояния законности и защиты прав и законных интересов граждан</w:t>
      </w:r>
      <w:r w:rsidR="00B00D14" w:rsidRPr="007E7B5B">
        <w:rPr>
          <w:color w:val="000000"/>
          <w:sz w:val="28"/>
          <w:szCs w:val="28"/>
        </w:rPr>
        <w:t xml:space="preserve">. </w:t>
      </w:r>
      <w:bookmarkEnd w:id="0"/>
    </w:p>
    <w:p w14:paraId="0C30B084" w14:textId="77777777" w:rsidR="007E7B5B" w:rsidRPr="007E7B5B" w:rsidRDefault="003428C6" w:rsidP="007E7B5B">
      <w:pPr>
        <w:pStyle w:val="a3"/>
        <w:shd w:val="clear" w:color="auto" w:fill="FFFFFF"/>
        <w:spacing w:before="0" w:beforeAutospacing="0" w:after="0" w:afterAutospacing="0"/>
        <w:jc w:val="both"/>
        <w:rPr>
          <w:sz w:val="28"/>
          <w:szCs w:val="28"/>
        </w:rPr>
      </w:pPr>
      <w:bookmarkStart w:id="2" w:name="_Hlk126663983"/>
      <w:r w:rsidRPr="007E7B5B">
        <w:rPr>
          <w:sz w:val="28"/>
          <w:szCs w:val="28"/>
        </w:rPr>
        <w:tab/>
      </w:r>
      <w:r w:rsidR="00C07884" w:rsidRPr="007E7B5B">
        <w:rPr>
          <w:sz w:val="28"/>
          <w:szCs w:val="28"/>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14:paraId="682DDFBD"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Необходимо учитывать, что при проведении проверок в указанной сфере прокурорами выявляются нарушения, связанные с фактами: выполнения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бесконкурсной основе; необоснованного завышения цен на приобретаемые товары (работы и услуги);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14:paraId="4ACFD4D6"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Существует нескольких основных способов злоупотреблений при заключении и исполнении государственных и муниципальных заказов.</w:t>
      </w:r>
    </w:p>
    <w:p w14:paraId="01846B14"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14:paraId="568CEF73"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14:paraId="31D43649"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 xml:space="preserve">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w:t>
      </w:r>
      <w:r w:rsidRPr="007E7B5B">
        <w:rPr>
          <w:sz w:val="28"/>
          <w:szCs w:val="28"/>
        </w:rPr>
        <w:lastRenderedPageBreak/>
        <w:t>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14:paraId="1915D0C5"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 (далее – УК РФ).</w:t>
      </w:r>
    </w:p>
    <w:p w14:paraId="24591AC9" w14:textId="0BF0345F" w:rsidR="00C07884"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В отдельных случаях действия злоумышленников могут квалифицироваться по статье 159 УК РФ (мошенничество).</w:t>
      </w:r>
    </w:p>
    <w:p w14:paraId="06F710A1" w14:textId="09655ECC" w:rsidR="00A01A0A" w:rsidRPr="0076369B" w:rsidRDefault="00A01A0A" w:rsidP="00C07884">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2"/>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FED0" w14:textId="77777777" w:rsidR="00CF185C" w:rsidRDefault="00CF185C" w:rsidP="00910303">
      <w:pPr>
        <w:spacing w:after="0" w:line="240" w:lineRule="auto"/>
      </w:pPr>
      <w:r>
        <w:separator/>
      </w:r>
    </w:p>
  </w:endnote>
  <w:endnote w:type="continuationSeparator" w:id="0">
    <w:p w14:paraId="6349D665" w14:textId="77777777" w:rsidR="00CF185C" w:rsidRDefault="00CF185C"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C86F" w14:textId="77777777" w:rsidR="00CF185C" w:rsidRDefault="00CF185C" w:rsidP="00910303">
      <w:pPr>
        <w:spacing w:after="0" w:line="240" w:lineRule="auto"/>
      </w:pPr>
      <w:r>
        <w:separator/>
      </w:r>
    </w:p>
  </w:footnote>
  <w:footnote w:type="continuationSeparator" w:id="0">
    <w:p w14:paraId="2E8947C0" w14:textId="77777777" w:rsidR="00CF185C" w:rsidRDefault="00CF185C"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A6F74"/>
    <w:rsid w:val="000B4BBF"/>
    <w:rsid w:val="00106A20"/>
    <w:rsid w:val="001208E0"/>
    <w:rsid w:val="00121AC4"/>
    <w:rsid w:val="00135352"/>
    <w:rsid w:val="001B3C3B"/>
    <w:rsid w:val="001B57C9"/>
    <w:rsid w:val="001D5377"/>
    <w:rsid w:val="001F72D8"/>
    <w:rsid w:val="0020375C"/>
    <w:rsid w:val="00205335"/>
    <w:rsid w:val="002256BE"/>
    <w:rsid w:val="00263910"/>
    <w:rsid w:val="002A3221"/>
    <w:rsid w:val="002B41D1"/>
    <w:rsid w:val="003041F9"/>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A45DD"/>
    <w:rsid w:val="006B7A96"/>
    <w:rsid w:val="006D307F"/>
    <w:rsid w:val="006D688A"/>
    <w:rsid w:val="006D6B73"/>
    <w:rsid w:val="006D7152"/>
    <w:rsid w:val="006E093F"/>
    <w:rsid w:val="007165C1"/>
    <w:rsid w:val="007416A7"/>
    <w:rsid w:val="0076369B"/>
    <w:rsid w:val="00784CAC"/>
    <w:rsid w:val="007A5CE7"/>
    <w:rsid w:val="007E7B5B"/>
    <w:rsid w:val="007F2938"/>
    <w:rsid w:val="00807DA0"/>
    <w:rsid w:val="00825269"/>
    <w:rsid w:val="00833364"/>
    <w:rsid w:val="00850F78"/>
    <w:rsid w:val="00893C92"/>
    <w:rsid w:val="008C1B00"/>
    <w:rsid w:val="009020E2"/>
    <w:rsid w:val="0090470E"/>
    <w:rsid w:val="00910303"/>
    <w:rsid w:val="00926A8D"/>
    <w:rsid w:val="009715EF"/>
    <w:rsid w:val="009A2724"/>
    <w:rsid w:val="009E5D9B"/>
    <w:rsid w:val="009F65C6"/>
    <w:rsid w:val="00A01A0A"/>
    <w:rsid w:val="00A06799"/>
    <w:rsid w:val="00A07C97"/>
    <w:rsid w:val="00A82D1A"/>
    <w:rsid w:val="00AC112C"/>
    <w:rsid w:val="00AC4E89"/>
    <w:rsid w:val="00AE422A"/>
    <w:rsid w:val="00AE4C7B"/>
    <w:rsid w:val="00B00D14"/>
    <w:rsid w:val="00B231D1"/>
    <w:rsid w:val="00B53D50"/>
    <w:rsid w:val="00B551D7"/>
    <w:rsid w:val="00B84CD5"/>
    <w:rsid w:val="00B91FE1"/>
    <w:rsid w:val="00B96B93"/>
    <w:rsid w:val="00BB318D"/>
    <w:rsid w:val="00BC3100"/>
    <w:rsid w:val="00BD78C1"/>
    <w:rsid w:val="00C07884"/>
    <w:rsid w:val="00C543EA"/>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D1C2C"/>
    <w:rsid w:val="00E00043"/>
    <w:rsid w:val="00E10783"/>
    <w:rsid w:val="00E17657"/>
    <w:rsid w:val="00E379CA"/>
    <w:rsid w:val="00E5609D"/>
    <w:rsid w:val="00E72628"/>
    <w:rsid w:val="00E76EF8"/>
    <w:rsid w:val="00E86654"/>
    <w:rsid w:val="00E9051D"/>
    <w:rsid w:val="00EB3E25"/>
    <w:rsid w:val="00EB6C74"/>
    <w:rsid w:val="00ED60C9"/>
    <w:rsid w:val="00ED6B97"/>
    <w:rsid w:val="00EF3F99"/>
    <w:rsid w:val="00F031B8"/>
    <w:rsid w:val="00F6122D"/>
    <w:rsid w:val="00F8514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28397357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144354971">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22956356">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96606085">
      <w:bodyDiv w:val="1"/>
      <w:marLeft w:val="0"/>
      <w:marRight w:val="0"/>
      <w:marTop w:val="0"/>
      <w:marBottom w:val="0"/>
      <w:divBdr>
        <w:top w:val="none" w:sz="0" w:space="0" w:color="auto"/>
        <w:left w:val="none" w:sz="0" w:space="0" w:color="auto"/>
        <w:bottom w:val="none" w:sz="0" w:space="0" w:color="auto"/>
        <w:right w:val="none" w:sz="0" w:space="0" w:color="auto"/>
      </w:divBdr>
    </w:div>
    <w:div w:id="182912673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C81A-D1E9-45D8-96B6-40A6A3DC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Ардаширов Ильшат Ильфатович</cp:lastModifiedBy>
  <cp:revision>3</cp:revision>
  <cp:lastPrinted>2023-01-28T11:35:00Z</cp:lastPrinted>
  <dcterms:created xsi:type="dcterms:W3CDTF">2024-06-20T16:32:00Z</dcterms:created>
  <dcterms:modified xsi:type="dcterms:W3CDTF">2024-06-20T17:14:00Z</dcterms:modified>
</cp:coreProperties>
</file>