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B" w:rsidRDefault="00032CEB">
      <w:pPr>
        <w:rPr>
          <w:rFonts w:ascii="Times New Roman" w:hAnsi="Times New Roman" w:cs="Times New Roman"/>
          <w:sz w:val="28"/>
          <w:szCs w:val="28"/>
        </w:rPr>
      </w:pPr>
    </w:p>
    <w:p w:rsidR="00032CEB" w:rsidRPr="00032CEB" w:rsidRDefault="00032CEB" w:rsidP="00032C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CEB">
        <w:rPr>
          <w:rFonts w:ascii="Times New Roman" w:hAnsi="Times New Roman" w:cs="Times New Roman"/>
          <w:b/>
          <w:sz w:val="40"/>
          <w:szCs w:val="40"/>
        </w:rPr>
        <w:t xml:space="preserve">Информация для </w:t>
      </w:r>
      <w:proofErr w:type="gramStart"/>
      <w:r w:rsidRPr="00032CEB">
        <w:rPr>
          <w:rFonts w:ascii="Times New Roman" w:hAnsi="Times New Roman" w:cs="Times New Roman"/>
          <w:b/>
          <w:sz w:val="40"/>
          <w:szCs w:val="40"/>
        </w:rPr>
        <w:t>предприятий</w:t>
      </w:r>
      <w:proofErr w:type="gramEnd"/>
      <w:r w:rsidRPr="00032CEB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032CEB">
        <w:rPr>
          <w:rFonts w:ascii="Times New Roman" w:hAnsi="Times New Roman" w:cs="Times New Roman"/>
          <w:b/>
          <w:sz w:val="40"/>
          <w:szCs w:val="40"/>
        </w:rPr>
        <w:t>реализующих алкогольную продукцию.</w:t>
      </w:r>
    </w:p>
    <w:p w:rsidR="004E448B" w:rsidRPr="00032CEB" w:rsidRDefault="00032CEB" w:rsidP="00032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EB">
        <w:rPr>
          <w:rFonts w:ascii="Times New Roman" w:hAnsi="Times New Roman" w:cs="Times New Roman"/>
          <w:sz w:val="28"/>
          <w:szCs w:val="28"/>
        </w:rPr>
        <w:t xml:space="preserve">С 1 января 2014 года вступило в силу постановление Правительства Российской Федерации от 14.11.2013 года № 1024 «О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 </w:t>
      </w:r>
      <w:proofErr w:type="gramStart"/>
      <w:r w:rsidRPr="00032CEB">
        <w:rPr>
          <w:rFonts w:ascii="Times New Roman" w:hAnsi="Times New Roman" w:cs="Times New Roman"/>
          <w:sz w:val="28"/>
          <w:szCs w:val="28"/>
        </w:rPr>
        <w:t xml:space="preserve">Согласно указанному постановлению организации, осуществляющие розничную продажу алкогольной продукции, индивидуальные предприниматели, осуществляющие розничную продажу пива и пивных напитков, а также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продукции, обязаны представлять декларации ежеквартально, не позднее 20 – </w:t>
      </w:r>
      <w:proofErr w:type="spellStart"/>
      <w:r w:rsidRPr="00032C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2CE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только в форме электронного документа по телекоммуникационным каналам связи</w:t>
      </w:r>
      <w:proofErr w:type="gramEnd"/>
      <w:r w:rsidRPr="00032CEB">
        <w:rPr>
          <w:rFonts w:ascii="Times New Roman" w:hAnsi="Times New Roman" w:cs="Times New Roman"/>
          <w:sz w:val="28"/>
          <w:szCs w:val="28"/>
        </w:rPr>
        <w:t xml:space="preserve"> с ЭЦП. В случае нарушения установленного данного порядка представления деклараций, нарушители привлекаются к административной ответственности в виде штрафа в размере от 50 до 100 тысяч рублей на юридическое лицо, от 5 до 10 тысяч рублей на должностное лицо.</w:t>
      </w:r>
    </w:p>
    <w:sectPr w:rsidR="004E448B" w:rsidRPr="0003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EB"/>
    <w:rsid w:val="00032CEB"/>
    <w:rsid w:val="004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Home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2017-06-02T03:40:00Z</dcterms:created>
  <dcterms:modified xsi:type="dcterms:W3CDTF">2017-06-02T03:41:00Z</dcterms:modified>
</cp:coreProperties>
</file>