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0206E3" w:rsidTr="00070EE4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206E3" w:rsidRDefault="000206E3" w:rsidP="00070E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06E3" w:rsidRDefault="000206E3" w:rsidP="00070E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0206E3" w:rsidRDefault="000206E3" w:rsidP="00070E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0206E3" w:rsidRDefault="000206E3" w:rsidP="00070E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206E3" w:rsidRDefault="000206E3" w:rsidP="00070E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565FF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54830290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0206E3" w:rsidRDefault="000206E3" w:rsidP="00070EE4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206E3" w:rsidRDefault="000206E3" w:rsidP="00070EE4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0206E3" w:rsidRDefault="000206E3" w:rsidP="000206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КАРАР                                                                                  РЕШЕНИЕ</w:t>
      </w:r>
    </w:p>
    <w:p w:rsidR="000206E3" w:rsidRDefault="000206E3" w:rsidP="000206E3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0206E3" w:rsidRDefault="000206E3" w:rsidP="00020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август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69-1                 21 августа 2023 г.</w:t>
      </w:r>
    </w:p>
    <w:p w:rsidR="000206E3" w:rsidRDefault="000206E3" w:rsidP="000206E3">
      <w:pPr>
        <w:rPr>
          <w:rFonts w:ascii="Times New Roman" w:hAnsi="Times New Roman" w:cs="Times New Roman"/>
          <w:sz w:val="24"/>
          <w:szCs w:val="24"/>
        </w:rPr>
      </w:pPr>
    </w:p>
    <w:p w:rsidR="000206E3" w:rsidRDefault="000206E3" w:rsidP="000206E3">
      <w:pPr>
        <w:pStyle w:val="a4"/>
        <w:tabs>
          <w:tab w:val="left" w:pos="426"/>
        </w:tabs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bookmarkStart w:id="0" w:name="_Hlk141426303"/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  <w:proofErr w:type="gramEnd"/>
    </w:p>
    <w:p w:rsidR="000206E3" w:rsidRDefault="000206E3" w:rsidP="000206E3">
      <w:pPr>
        <w:pStyle w:val="a4"/>
        <w:tabs>
          <w:tab w:val="left" w:pos="426"/>
        </w:tabs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 от 06.02.2023 № 12-ФЗ                  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коррупции», Законом Республики Башкортостан от 27.02.2023 № 679-з «О внесении изменений в Закон Республики Башкортостан «О местном самоуправлении в Республике Башкортостан», Совет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0206E3" w:rsidRDefault="000206E3" w:rsidP="000206E3">
      <w:pPr>
        <w:pStyle w:val="a4"/>
        <w:numPr>
          <w:ilvl w:val="0"/>
          <w:numId w:val="1"/>
        </w:numPr>
        <w:tabs>
          <w:tab w:val="left" w:pos="426"/>
        </w:tabs>
        <w:ind w:left="42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на официальном сайте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характера.</w:t>
      </w:r>
      <w:proofErr w:type="gramEnd"/>
    </w:p>
    <w:p w:rsidR="000206E3" w:rsidRDefault="000206E3" w:rsidP="000206E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2. Признать утратившим силу решение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29.04.2016  № 6-3 «Об утверждении Порядка размещения сведений о доходах, расходах, об имуществе и обязательствах имущественного характера депутатов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       </w:t>
      </w:r>
    </w:p>
    <w:p w:rsidR="000206E3" w:rsidRDefault="000206E3" w:rsidP="000206E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данное решение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порядке, предусмотренном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206E3" w:rsidRDefault="000206E3" w:rsidP="000206E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комиссию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соблюдению Регламента Совета, статуса и этики депутата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Ф.Н.).</w:t>
      </w:r>
    </w:p>
    <w:p w:rsidR="000206E3" w:rsidRDefault="000206E3" w:rsidP="000206E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0206E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0206E3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К.Ю. Леонтьев</w:t>
      </w:r>
    </w:p>
    <w:p w:rsidR="000206E3" w:rsidRDefault="000206E3" w:rsidP="000206E3">
      <w:pPr>
        <w:pStyle w:val="2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Приложение</w:t>
      </w: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к решению Совета </w:t>
      </w:r>
    </w:p>
    <w:p w:rsidR="000206E3" w:rsidRDefault="000206E3" w:rsidP="000206E3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 поселения</w:t>
      </w:r>
    </w:p>
    <w:p w:rsidR="000206E3" w:rsidRDefault="000206E3" w:rsidP="000206E3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Саннинский</w:t>
      </w:r>
      <w:proofErr w:type="spellEnd"/>
      <w:r>
        <w:rPr>
          <w:rFonts w:cs="Times New Roman"/>
          <w:sz w:val="24"/>
          <w:szCs w:val="24"/>
        </w:rPr>
        <w:t xml:space="preserve"> сельсовет</w:t>
      </w: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муниципального района </w:t>
      </w: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Благовещенский район </w:t>
      </w: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Республики Башкортостан </w:t>
      </w:r>
    </w:p>
    <w:p w:rsidR="000206E3" w:rsidRDefault="000206E3" w:rsidP="000206E3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от 21  </w:t>
      </w:r>
      <w:r>
        <w:rPr>
          <w:b w:val="0"/>
          <w:color w:val="000000"/>
          <w:sz w:val="24"/>
          <w:szCs w:val="24"/>
          <w:u w:val="single"/>
        </w:rPr>
        <w:t>августа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>2023</w:t>
      </w:r>
      <w:r>
        <w:rPr>
          <w:b w:val="0"/>
          <w:color w:val="000000"/>
          <w:sz w:val="24"/>
          <w:szCs w:val="24"/>
        </w:rPr>
        <w:t xml:space="preserve"> года </w:t>
      </w:r>
    </w:p>
    <w:p w:rsidR="000206E3" w:rsidRDefault="000206E3" w:rsidP="000206E3">
      <w:pPr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№ 69-1</w:t>
      </w:r>
    </w:p>
    <w:p w:rsidR="000206E3" w:rsidRDefault="000206E3" w:rsidP="000206E3">
      <w:pPr>
        <w:ind w:left="426" w:firstLine="425"/>
        <w:rPr>
          <w:rFonts w:ascii="Times New Roman" w:hAnsi="Times New Roman" w:cs="Times New Roman"/>
          <w:b/>
        </w:rPr>
      </w:pPr>
    </w:p>
    <w:p w:rsidR="000206E3" w:rsidRDefault="000206E3" w:rsidP="000206E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06E3" w:rsidRDefault="000206E3" w:rsidP="000206E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на официальном сайте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обобщенной информации об </w:t>
      </w:r>
      <w:r>
        <w:rPr>
          <w:rFonts w:ascii="Times New Roman" w:hAnsi="Times New Roman"/>
          <w:b/>
          <w:sz w:val="28"/>
          <w:szCs w:val="28"/>
        </w:rPr>
        <w:t>исполнении (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Башкортостан, обязанности </w:t>
      </w:r>
      <w:r>
        <w:rPr>
          <w:rFonts w:ascii="Times New Roman" w:hAnsi="Times New Roman"/>
          <w:b/>
          <w:sz w:val="28"/>
          <w:szCs w:val="28"/>
        </w:rPr>
        <w:t>представления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</w:t>
      </w:r>
      <w:r>
        <w:rPr>
          <w:rFonts w:ascii="Times New Roman" w:hAnsi="Times New Roman"/>
          <w:b/>
          <w:sz w:val="28"/>
          <w:szCs w:val="28"/>
        </w:rPr>
        <w:t>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0206E3" w:rsidRDefault="000206E3" w:rsidP="000206E3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E3" w:rsidRDefault="000206E3" w:rsidP="000206E3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устанавливается порядок размещения обобщенной информации об исполнении (ненадлежащем исполнении) лицами, замещающими муниципальные должности депутата Совета </w:t>
      </w:r>
      <w:bookmarkStart w:id="1" w:name="_Hlk141427362"/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представлять сведения о доходах, расходах, об имуществе и обязательствах имущественного характера.</w:t>
      </w:r>
    </w:p>
    <w:p w:rsidR="000206E3" w:rsidRDefault="000206E3" w:rsidP="000206E3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доступа к информации о представляемых лицами, замещающими муниципальные должности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 </w:t>
      </w:r>
    </w:p>
    <w:p w:rsidR="000206E3" w:rsidRDefault="000206E3" w:rsidP="000206E3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лицу) в порядке, установленном законом субъекта Российской Федерации.</w:t>
      </w:r>
    </w:p>
    <w:p w:rsidR="000206E3" w:rsidRDefault="000206E3" w:rsidP="000206E3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доступа к информации о представляемых лицами, замещающими муниципальные должности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сведений о доходах,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законами Республики Башкортостан.</w:t>
      </w:r>
    </w:p>
    <w:p w:rsidR="000206E3" w:rsidRDefault="000206E3" w:rsidP="000206E3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размещается для опубликования следующая обобщенная информация об исполнении (ненадлежащем исполнении) лицами, замещающими муниципальные должности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 и обязательствах имущественного характера:</w:t>
      </w:r>
    </w:p>
    <w:p w:rsidR="000206E3" w:rsidRDefault="000206E3" w:rsidP="000206E3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1) Количество лиц, замещающих муниципальные должности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представивших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0206E3" w:rsidRDefault="000206E3" w:rsidP="000206E3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2) Количество лиц, замещающих муниципальные должности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представивших уведомления об отсутствии сделок, предусмотренных частью 1 статьи 3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0206E3" w:rsidRDefault="000206E3" w:rsidP="000206E3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характера, согласно приложению к Порядку, размещается специалистом сельского поселения, ответственным за размещение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ежегодно в течение 14 рабочих дней со дня истечения срока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установленного для представления депутатами сведений о доходах, расходах, об имуществе и обязательствах имущественного характера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"Интернет"                                   </w:t>
      </w:r>
      <w:hyperlink r:id="rId7" w:history="1">
        <w:r>
          <w:rPr>
            <w:rStyle w:val="a3"/>
            <w:sz w:val="28"/>
            <w:szCs w:val="28"/>
          </w:rPr>
          <w:t>https:/</w:t>
        </w:r>
        <w:proofErr w:type="spellStart"/>
        <w:r>
          <w:rPr>
            <w:rStyle w:val="a3"/>
            <w:sz w:val="28"/>
            <w:szCs w:val="28"/>
            <w:lang w:val="en-US"/>
          </w:rPr>
          <w:t>sanninskblagrb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 В обобщенную информацию  включается  установленное и избранное число депутатов осуществляющих депутатскую деятельность без отрыва от основной деятельности (на непостоянной основе), указывается  декларируемый период, также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обозначается количество лиц, замещающих муниципальные должности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не представивших сведения о доходах, расходах, об имуществе и обязательствах имущественного характера, а также не представивших уведомления 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сделок.</w:t>
      </w:r>
    </w:p>
    <w:p w:rsidR="000206E3" w:rsidRDefault="000206E3" w:rsidP="000206E3">
      <w:pPr>
        <w:spacing w:after="0"/>
        <w:sectPr w:rsidR="000206E3">
          <w:pgSz w:w="11906" w:h="16838"/>
          <w:pgMar w:top="1134" w:right="850" w:bottom="1134" w:left="1701" w:header="708" w:footer="708" w:gutter="0"/>
          <w:cols w:space="720"/>
        </w:sectPr>
      </w:pPr>
    </w:p>
    <w:p w:rsidR="000206E3" w:rsidRDefault="000206E3" w:rsidP="000206E3">
      <w:pPr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lastRenderedPageBreak/>
        <w:t>Приложение к 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орядку размещения на официальном сайте </w:t>
      </w: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  <w:proofErr w:type="gramEnd"/>
    </w:p>
    <w:p w:rsidR="000206E3" w:rsidRDefault="000206E3" w:rsidP="000206E3">
      <w:pPr>
        <w:ind w:left="426" w:firstLine="4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206E3" w:rsidRDefault="000206E3" w:rsidP="000206E3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Обобщенная информация </w:t>
      </w:r>
    </w:p>
    <w:p w:rsidR="000206E3" w:rsidRDefault="000206E3" w:rsidP="000206E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(ненадлежащем исполнении) лицами, замещающими муниципальные должности депутата 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Саннинский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sz w:val="26"/>
          <w:szCs w:val="26"/>
        </w:rPr>
        <w:t>в _______ году</w:t>
      </w:r>
    </w:p>
    <w:p w:rsidR="000206E3" w:rsidRDefault="000206E3" w:rsidP="000206E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46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28"/>
        <w:gridCol w:w="1276"/>
        <w:gridCol w:w="4362"/>
        <w:gridCol w:w="4677"/>
        <w:gridCol w:w="2582"/>
      </w:tblGrid>
      <w:tr w:rsidR="000206E3" w:rsidTr="00070EE4">
        <w:trPr>
          <w:trHeight w:val="135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Установленное число депутатов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Избранное число депутатов, осуществляющих депутатскую деятельность без отрыва от основной деятельности (на непостоянной основе)</w:t>
            </w:r>
          </w:p>
        </w:tc>
        <w:tc>
          <w:tcPr>
            <w:tcW w:w="1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 период с 01 января 20__ года по 31 декабря 20__ года</w:t>
            </w:r>
          </w:p>
        </w:tc>
      </w:tr>
      <w:tr w:rsidR="000206E3" w:rsidTr="00070EE4">
        <w:trPr>
          <w:trHeight w:val="258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06E3" w:rsidRDefault="000206E3" w:rsidP="00070EE4">
            <w:pPr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06E3" w:rsidRDefault="000206E3" w:rsidP="00070EE4">
            <w:pPr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Совета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Саннинский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района </w:t>
            </w:r>
            <w:r>
              <w:rPr>
                <w:rFonts w:ascii="Times New Roman" w:hAnsi="Times New Roman"/>
                <w:b/>
                <w:color w:val="000000"/>
              </w:rPr>
              <w:t>представивших сведения о доходах, расходах, об имуществе</w:t>
            </w:r>
            <w:r>
              <w:rPr>
                <w:rFonts w:ascii="Times New Roman" w:hAnsi="Times New Roman"/>
                <w:color w:val="000000"/>
              </w:rPr>
              <w:t xml:space="preserve">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Совета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Саннинский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района, </w:t>
            </w:r>
            <w:r>
              <w:rPr>
                <w:rFonts w:ascii="Times New Roman" w:hAnsi="Times New Roman"/>
                <w:b/>
                <w:color w:val="000000"/>
              </w:rPr>
              <w:t>представивших уведомления об отсутствии сделок</w:t>
            </w:r>
            <w:r>
              <w:rPr>
                <w:rFonts w:ascii="Times New Roman" w:hAnsi="Times New Roman"/>
                <w:color w:val="000000"/>
              </w:rPr>
              <w:t xml:space="preserve">, предусмотренных частью 1 статьи 3 Федерального закона от 3 декабря 2012 года № 230-ФЗ "О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Совета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Саннинский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района </w:t>
            </w:r>
            <w:r>
              <w:rPr>
                <w:rFonts w:ascii="Times New Roman" w:hAnsi="Times New Roman"/>
                <w:b/>
                <w:color w:val="000000"/>
              </w:rPr>
              <w:t>не представивших сведения о</w:t>
            </w:r>
            <w:r>
              <w:rPr>
                <w:rFonts w:ascii="Times New Roman" w:hAnsi="Times New Roman"/>
                <w:color w:val="000000"/>
              </w:rPr>
              <w:t xml:space="preserve"> доходах, расходах, об имуществе и обязательствах имущественного характера, а также </w:t>
            </w:r>
            <w:r>
              <w:rPr>
                <w:rFonts w:ascii="Times New Roman" w:hAnsi="Times New Roman"/>
                <w:b/>
                <w:color w:val="000000"/>
              </w:rPr>
              <w:t xml:space="preserve">не представивших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уведомления </w:t>
            </w:r>
            <w:r>
              <w:rPr>
                <w:rFonts w:ascii="Times New Roman" w:hAnsi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0206E3" w:rsidTr="00070EE4">
        <w:trPr>
          <w:trHeight w:val="25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206E3" w:rsidRDefault="000206E3" w:rsidP="00070EE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45D9" w:rsidRDefault="00C945D9"/>
    <w:sectPr w:rsidR="00C945D9" w:rsidSect="00C9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E3"/>
    <w:rsid w:val="000206E3"/>
    <w:rsid w:val="00C9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6E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206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6E3"/>
    <w:rPr>
      <w:sz w:val="16"/>
      <w:szCs w:val="16"/>
    </w:rPr>
  </w:style>
  <w:style w:type="paragraph" w:styleId="a4">
    <w:name w:val="No Spacing"/>
    <w:uiPriority w:val="1"/>
    <w:qFormat/>
    <w:rsid w:val="000206E3"/>
    <w:pPr>
      <w:spacing w:after="0" w:line="240" w:lineRule="auto"/>
    </w:pPr>
  </w:style>
  <w:style w:type="paragraph" w:customStyle="1" w:styleId="ConsPlusNormal">
    <w:name w:val="ConsPlusNormal"/>
    <w:uiPriority w:val="99"/>
    <w:rsid w:val="00020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0206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qFormat/>
    <w:rsid w:val="000206E3"/>
    <w:pPr>
      <w:widowControl w:val="0"/>
      <w:suppressLineNumbers/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agoveshensk.bashkorto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2023-08-29T11:05:00Z</dcterms:created>
  <dcterms:modified xsi:type="dcterms:W3CDTF">2023-08-29T11:05:00Z</dcterms:modified>
</cp:coreProperties>
</file>