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C22468" w:rsidTr="00C22468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C22468">
              <w:trPr>
                <w:trHeight w:val="1696"/>
              </w:trPr>
              <w:tc>
                <w:tcPr>
                  <w:tcW w:w="3828" w:type="dxa"/>
                </w:tcPr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proofErr w:type="spellEnd"/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C22468" w:rsidRPr="00C22468" w:rsidRDefault="00C22468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proofErr w:type="spellEnd"/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 ХАКИМИӘТЕ</w:t>
                  </w:r>
                </w:p>
                <w:p w:rsidR="00C22468" w:rsidRPr="00C22468" w:rsidRDefault="00C22468">
                  <w:pPr>
                    <w:suppressAutoHyphens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C22468" w:rsidRPr="00C22468" w:rsidRDefault="00C22468">
                  <w:pPr>
                    <w:suppressAutoHyphens/>
                    <w:snapToGrid w:val="0"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8240" behindDoc="1" locked="0" layoutInCell="1" allowOverlap="1" wp14:anchorId="3A1FD387" wp14:editId="7202AC25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C22468" w:rsidRPr="00C22468" w:rsidRDefault="00C22468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C22468"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C22468" w:rsidRDefault="00C22468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C22468" w:rsidRDefault="00C22468">
                  <w:pPr>
                    <w:suppressAutoHyphens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C22468" w:rsidRDefault="00C22468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en-US"/>
              </w:rPr>
            </w:pPr>
          </w:p>
        </w:tc>
      </w:tr>
    </w:tbl>
    <w:p w:rsidR="00C22468" w:rsidRDefault="00C22468" w:rsidP="00C22468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</w:t>
      </w:r>
      <w:proofErr w:type="gramStart"/>
      <w:r>
        <w:rPr>
          <w:sz w:val="16"/>
          <w:szCs w:val="16"/>
        </w:rPr>
        <w:t>21,тел.</w:t>
      </w:r>
      <w:proofErr w:type="gramEnd"/>
      <w:r>
        <w:rPr>
          <w:sz w:val="16"/>
          <w:szCs w:val="16"/>
        </w:rPr>
        <w:t xml:space="preserve">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spsansel</w:t>
      </w:r>
      <w:proofErr w:type="spellEnd"/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sanninsk</w:t>
      </w:r>
      <w:proofErr w:type="spellEnd"/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  <w:lang w:val="en-US"/>
        </w:rPr>
        <w:t>blag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rb</w:t>
      </w:r>
      <w:proofErr w:type="spellEnd"/>
    </w:p>
    <w:p w:rsidR="00C22468" w:rsidRDefault="00C22468" w:rsidP="00C2246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</w:t>
      </w:r>
      <w:proofErr w:type="gramStart"/>
      <w:r>
        <w:rPr>
          <w:sz w:val="16"/>
          <w:szCs w:val="16"/>
        </w:rPr>
        <w:t xml:space="preserve">04277230,   </w:t>
      </w:r>
      <w:proofErr w:type="gramEnd"/>
      <w:r>
        <w:rPr>
          <w:sz w:val="16"/>
          <w:szCs w:val="16"/>
        </w:rPr>
        <w:t xml:space="preserve">        ОГРН 1020201701035,    ИНН/КПП  02580039/ 025801001</w:t>
      </w: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tbl>
      <w:tblPr>
        <w:tblpPr w:leftFromText="180" w:rightFromText="180" w:bottomFromText="200" w:vertAnchor="text" w:horzAnchor="margin" w:tblpY="2"/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1441"/>
        <w:gridCol w:w="4274"/>
      </w:tblGrid>
      <w:tr w:rsidR="00C22468" w:rsidTr="00C22468">
        <w:trPr>
          <w:trHeight w:val="1024"/>
        </w:trPr>
        <w:tc>
          <w:tcPr>
            <w:tcW w:w="4212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68" w:rsidRDefault="00C22468">
            <w:pPr>
              <w:spacing w:line="276" w:lineRule="auto"/>
              <w:jc w:val="center"/>
              <w:rPr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КАРАР</w:t>
            </w: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jc w:val="center"/>
              <w:rPr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«07 » </w:t>
            </w:r>
            <w:proofErr w:type="spellStart"/>
            <w:r>
              <w:rPr>
                <w:b/>
                <w:sz w:val="28"/>
                <w:lang w:val="en-US" w:eastAsia="en-US" w:bidi="en-US"/>
              </w:rPr>
              <w:t>октябрь</w:t>
            </w:r>
            <w:proofErr w:type="spellEnd"/>
            <w:r>
              <w:rPr>
                <w:b/>
                <w:sz w:val="28"/>
                <w:lang w:val="en-US" w:eastAsia="en-US" w:bidi="en-US"/>
              </w:rPr>
              <w:t xml:space="preserve"> 2025 й.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                            </w:t>
            </w: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№ 32</w:t>
            </w:r>
          </w:p>
        </w:tc>
        <w:tc>
          <w:tcPr>
            <w:tcW w:w="4271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                 ПОСТАНОВЛЕНИЕ</w:t>
            </w: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«07</w:t>
            </w:r>
            <w:proofErr w:type="gramStart"/>
            <w:r>
              <w:rPr>
                <w:b/>
                <w:sz w:val="28"/>
                <w:lang w:val="en-US" w:eastAsia="en-US" w:bidi="en-US"/>
              </w:rPr>
              <w:t xml:space="preserve">»  </w:t>
            </w:r>
            <w:proofErr w:type="spellStart"/>
            <w:r>
              <w:rPr>
                <w:b/>
                <w:sz w:val="28"/>
                <w:lang w:val="en-US" w:eastAsia="en-US" w:bidi="en-US"/>
              </w:rPr>
              <w:t>октября</w:t>
            </w:r>
            <w:proofErr w:type="spellEnd"/>
            <w:proofErr w:type="gramEnd"/>
            <w:r>
              <w:rPr>
                <w:b/>
                <w:sz w:val="28"/>
                <w:lang w:val="en-US" w:eastAsia="en-US" w:bidi="en-US"/>
              </w:rPr>
              <w:t xml:space="preserve"> 2025 г.</w:t>
            </w:r>
          </w:p>
          <w:p w:rsidR="00C22468" w:rsidRDefault="00C22468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</w:tc>
      </w:tr>
    </w:tbl>
    <w:p w:rsidR="00C22468" w:rsidRDefault="00C22468" w:rsidP="00C22468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_Hlk119676213"/>
      <w:bookmarkStart w:id="1" w:name="_GoBack"/>
      <w:r>
        <w:rPr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b/>
          <w:bCs/>
          <w:sz w:val="28"/>
          <w:szCs w:val="28"/>
        </w:rPr>
        <w:t>Саннинский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от 28 мая 2019 года    № 11-1 «Об утверждении Положения о муниципальной службе в сельском поселении </w:t>
      </w:r>
      <w:proofErr w:type="spellStart"/>
      <w:r>
        <w:rPr>
          <w:b/>
          <w:bCs/>
          <w:sz w:val="28"/>
          <w:szCs w:val="28"/>
        </w:rPr>
        <w:t>Саннинский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</w:t>
      </w:r>
    </w:p>
    <w:bookmarkEnd w:id="0"/>
    <w:bookmarkEnd w:id="1"/>
    <w:p w:rsidR="00C22468" w:rsidRDefault="00C22468" w:rsidP="00C2246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22468" w:rsidRDefault="00C22468" w:rsidP="00C22468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В соответствии Федеральным </w:t>
      </w:r>
      <w:hyperlink r:id="rId6" w:history="1">
        <w:r>
          <w:rPr>
            <w:rStyle w:val="a3"/>
            <w:kern w:val="36"/>
          </w:rPr>
          <w:t>законом</w:t>
        </w:r>
      </w:hyperlink>
      <w:r>
        <w:rPr>
          <w:b/>
          <w:bCs/>
          <w:kern w:val="36"/>
          <w:sz w:val="48"/>
          <w:szCs w:val="48"/>
        </w:rPr>
        <w:t xml:space="preserve"> </w:t>
      </w:r>
      <w:r>
        <w:rPr>
          <w:kern w:val="36"/>
          <w:sz w:val="28"/>
          <w:szCs w:val="28"/>
        </w:rPr>
        <w:t xml:space="preserve">от 02 марта 2007 № 25-ФЗ «О муниципальной службе в Российской Федерации», Федеральным законом от 25 декабря 2008 года 273-ФЗ «О противодействии коррупции», </w:t>
      </w:r>
      <w:r>
        <w:rPr>
          <w:bCs/>
          <w:kern w:val="36"/>
          <w:sz w:val="28"/>
          <w:szCs w:val="28"/>
        </w:rPr>
        <w:t>а также на основании протеста Благовещенской межрайонной прокуратуры Республики Башкортостан от 29</w:t>
      </w:r>
      <w:r>
        <w:rPr>
          <w:bCs/>
          <w:kern w:val="36"/>
          <w:sz w:val="28"/>
          <w:szCs w:val="28"/>
          <w:lang w:val="ba-RU"/>
        </w:rPr>
        <w:t xml:space="preserve"> сентября </w:t>
      </w:r>
      <w:r>
        <w:rPr>
          <w:bCs/>
          <w:kern w:val="36"/>
          <w:sz w:val="28"/>
          <w:szCs w:val="28"/>
        </w:rPr>
        <w:t xml:space="preserve">2025 </w:t>
      </w:r>
      <w:r>
        <w:rPr>
          <w:bCs/>
          <w:kern w:val="36"/>
          <w:sz w:val="28"/>
          <w:szCs w:val="28"/>
          <w:lang w:val="ba-RU"/>
        </w:rPr>
        <w:t xml:space="preserve">года </w:t>
      </w:r>
      <w:r>
        <w:rPr>
          <w:bCs/>
          <w:kern w:val="36"/>
          <w:sz w:val="28"/>
          <w:szCs w:val="28"/>
        </w:rPr>
        <w:t>№ 5-1-2025/Прдп290-25-20800020</w:t>
      </w:r>
      <w:r>
        <w:rPr>
          <w:bCs/>
          <w:kern w:val="36"/>
          <w:sz w:val="28"/>
          <w:szCs w:val="28"/>
          <w:lang w:val="ba-RU"/>
        </w:rPr>
        <w:t xml:space="preserve">, </w:t>
      </w:r>
      <w:r>
        <w:rPr>
          <w:kern w:val="36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kern w:val="36"/>
          <w:sz w:val="28"/>
          <w:szCs w:val="28"/>
        </w:rPr>
        <w:t>Саннинский</w:t>
      </w:r>
      <w:proofErr w:type="spellEnd"/>
      <w:r>
        <w:rPr>
          <w:kern w:val="36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C22468" w:rsidRDefault="00C22468" w:rsidP="00C22468">
      <w:pPr>
        <w:shd w:val="clear" w:color="auto" w:fill="FFFFFF"/>
        <w:ind w:firstLine="709"/>
        <w:jc w:val="both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ПОСТАНОВЛЯЕТ:</w:t>
      </w:r>
    </w:p>
    <w:p w:rsidR="00C22468" w:rsidRDefault="00C22468" w:rsidP="00C22468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постановление Администрации сельского поселения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от 28 мая 2019 года № 11-1 «Об утверждении Положения о муниципальной службе в сельском поселении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 следующие изменения:</w:t>
      </w:r>
    </w:p>
    <w:p w:rsidR="00C22468" w:rsidRDefault="00C22468" w:rsidP="00C22468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подпункт 14 в пункт 2.1 части 2 статьи 4 и изложить в следующей редакции:</w:t>
      </w:r>
    </w:p>
    <w:p w:rsidR="00C22468" w:rsidRDefault="00C22468" w:rsidP="00C22468">
      <w:pPr>
        <w:widowControl w:val="0"/>
        <w:tabs>
          <w:tab w:val="left" w:pos="426"/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«14)</w:t>
      </w:r>
      <w:r>
        <w:rPr>
          <w:color w:val="000000"/>
          <w:shd w:val="clear" w:color="auto" w:fill="FFFFFF"/>
        </w:rPr>
        <w:t xml:space="preserve"> </w:t>
      </w:r>
      <w:r>
        <w:rPr>
          <w:rFonts w:eastAsia="Arial Unicode MS"/>
          <w:sz w:val="28"/>
          <w:szCs w:val="28"/>
          <w:shd w:val="clear" w:color="auto" w:fill="FFFFFF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7" w:anchor="dst127" w:history="1">
        <w:r>
          <w:rPr>
            <w:rStyle w:val="a3"/>
            <w:rFonts w:eastAsia="Arial Unicode MS"/>
            <w:shd w:val="clear" w:color="auto" w:fill="FFFFFF"/>
          </w:rPr>
          <w:t>статьей 15.2</w:t>
        </w:r>
      </w:hyperlink>
      <w:r>
        <w:rPr>
          <w:rFonts w:eastAsia="Arial Unicode MS"/>
          <w:sz w:val="28"/>
          <w:szCs w:val="28"/>
          <w:shd w:val="clear" w:color="auto" w:fill="FFFFFF"/>
        </w:rPr>
        <w:t> 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анкете)».</w:t>
      </w:r>
    </w:p>
    <w:p w:rsidR="00C22468" w:rsidRDefault="00C22468" w:rsidP="00C22468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изложить пункт 6.1 статьи 6 в новой редакции: </w:t>
      </w:r>
    </w:p>
    <w:p w:rsidR="00C22468" w:rsidRDefault="00C22468" w:rsidP="00C22468">
      <w:pPr>
        <w:pStyle w:val="a5"/>
        <w:shd w:val="clear" w:color="auto" w:fill="FFFFFF"/>
        <w:spacing w:before="0" w:after="0"/>
        <w:ind w:firstLine="709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Cs w:val="0"/>
          <w:sz w:val="28"/>
          <w:szCs w:val="28"/>
        </w:rPr>
        <w:lastRenderedPageBreak/>
        <w:t>«</w:t>
      </w:r>
      <w:r>
        <w:rPr>
          <w:b w:val="0"/>
          <w:i w:val="0"/>
          <w:color w:val="000000" w:themeColor="text1"/>
          <w:sz w:val="28"/>
          <w:szCs w:val="28"/>
          <w:shd w:val="clear" w:color="auto" w:fill="FFFFFF"/>
        </w:rPr>
        <w:t xml:space="preserve">6.1. </w:t>
      </w:r>
      <w:r>
        <w:rPr>
          <w:b w:val="0"/>
          <w:i w:val="0"/>
          <w:color w:val="000000" w:themeColor="text1"/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hyperlink r:id="rId8" w:history="1">
        <w:r>
          <w:rPr>
            <w:rStyle w:val="a3"/>
          </w:rPr>
          <w:t>признания</w:t>
        </w:r>
      </w:hyperlink>
      <w:r>
        <w:rPr>
          <w:sz w:val="28"/>
          <w:szCs w:val="28"/>
        </w:rPr>
        <w:t> его недееспособным или ограниченно дееспособным решением суда, вступившим в законную силу;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отказа от прохождения процедуры оформления </w:t>
      </w:r>
      <w:hyperlink r:id="rId9" w:history="1">
        <w:r>
          <w:rPr>
            <w:rStyle w:val="a3"/>
          </w:rPr>
          <w:t>допуска</w:t>
        </w:r>
      </w:hyperlink>
      <w:r>
        <w:rPr>
          <w:sz w:val="28"/>
          <w:szCs w:val="28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C22468" w:rsidRDefault="00C22468" w:rsidP="00C224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</w:t>
      </w:r>
      <w:r>
        <w:rPr>
          <w:sz w:val="28"/>
          <w:szCs w:val="28"/>
        </w:rPr>
        <w:lastRenderedPageBreak/>
        <w:t>нарушение которых препятствует замещению должности муниципальной службы;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непредставления предусмотренных настоящим Федеральным </w:t>
      </w:r>
      <w:hyperlink r:id="rId10" w:anchor="dst100136" w:history="1">
        <w:r>
          <w:rPr>
            <w:rStyle w:val="a3"/>
          </w:rPr>
          <w:t>законом</w:t>
        </w:r>
      </w:hyperlink>
      <w:r>
        <w:rPr>
          <w:sz w:val="28"/>
          <w:szCs w:val="28"/>
        </w:rPr>
        <w:t>, Федеральным </w:t>
      </w:r>
      <w:hyperlink r:id="rId11" w:anchor="dst11" w:history="1">
        <w:r>
          <w:rPr>
            <w:rStyle w:val="a3"/>
          </w:rPr>
          <w:t>законом</w:t>
        </w:r>
      </w:hyperlink>
      <w:r>
        <w:rPr>
          <w:sz w:val="28"/>
          <w:szCs w:val="28"/>
        </w:rPr>
        <w:t> от 25 декабря 2008 года N 273-ФЗ "О противодействии коррупции" и другими федеральными </w:t>
      </w:r>
      <w:hyperlink r:id="rId12" w:anchor="dst100027" w:history="1">
        <w:r>
          <w:rPr>
            <w:rStyle w:val="a3"/>
          </w:rPr>
          <w:t>законами</w:t>
        </w:r>
      </w:hyperlink>
      <w:r>
        <w:rPr>
          <w:sz w:val="28"/>
          <w:szCs w:val="28"/>
        </w:rPr>
        <w:t> сведений или представления заведомо недостоверных или неполных сведений при поступлении на муниципальную службу;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9.1) непредставления сведений, предусмотренных </w:t>
      </w:r>
      <w:hyperlink r:id="rId13" w:anchor="dst100314" w:history="1">
        <w:r>
          <w:rPr>
            <w:rStyle w:val="a3"/>
          </w:rPr>
          <w:t>статьей 15.1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kern w:val="36"/>
          <w:sz w:val="28"/>
          <w:szCs w:val="28"/>
        </w:rPr>
        <w:t>от 02 марта 2007 № 25-ФЗ «О муниципальной службе в Российской Федерации»</w:t>
      </w:r>
      <w:r>
        <w:rPr>
          <w:sz w:val="28"/>
          <w:szCs w:val="28"/>
        </w:rPr>
        <w:t>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приобретения им статуса иностранного </w:t>
      </w:r>
      <w:hyperlink r:id="rId14" w:anchor="dst100137" w:history="1">
        <w:r>
          <w:rPr>
            <w:rStyle w:val="a3"/>
          </w:rPr>
          <w:t>агента</w:t>
        </w:r>
      </w:hyperlink>
      <w:r>
        <w:rPr>
          <w:sz w:val="28"/>
          <w:szCs w:val="28"/>
        </w:rPr>
        <w:t>.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 </w:t>
      </w:r>
    </w:p>
    <w:p w:rsidR="00C22468" w:rsidRDefault="00C22468" w:rsidP="00C22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</w:t>
      </w:r>
      <w:r>
        <w:rPr>
          <w:bCs/>
          <w:sz w:val="28"/>
          <w:szCs w:val="28"/>
        </w:rPr>
        <w:t>».</w:t>
      </w:r>
    </w:p>
    <w:p w:rsidR="00C22468" w:rsidRDefault="00C22468" w:rsidP="00C2246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</w:rPr>
        <w:t>2. Р</w:t>
      </w:r>
      <w:r>
        <w:rPr>
          <w:bCs/>
          <w:sz w:val="28"/>
          <w:szCs w:val="28"/>
          <w:lang w:val="be-BY"/>
        </w:rPr>
        <w:t>азместить настоящее постановление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“Интернет”.</w:t>
      </w:r>
    </w:p>
    <w:p w:rsidR="00C22468" w:rsidRDefault="00C22468" w:rsidP="00C2246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e-BY"/>
        </w:rPr>
        <w:t xml:space="preserve">3. </w:t>
      </w: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C22468" w:rsidRDefault="00C22468" w:rsidP="00C2246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C22468" w:rsidRDefault="00C22468" w:rsidP="00C2246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C22468" w:rsidRDefault="00C22468" w:rsidP="00C2246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</w:p>
    <w:p w:rsidR="00C22468" w:rsidRDefault="00C22468" w:rsidP="00C22468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                       </w:t>
      </w:r>
      <w:proofErr w:type="spellStart"/>
      <w:r>
        <w:rPr>
          <w:color w:val="000000"/>
          <w:sz w:val="28"/>
          <w:szCs w:val="28"/>
        </w:rPr>
        <w:t>Г.С.Зиганшина</w:t>
      </w:r>
      <w:proofErr w:type="spellEnd"/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C22468" w:rsidRDefault="00C22468" w:rsidP="00C22468">
      <w:pPr>
        <w:tabs>
          <w:tab w:val="left" w:pos="2310"/>
        </w:tabs>
        <w:jc w:val="both"/>
        <w:rPr>
          <w:sz w:val="28"/>
        </w:rPr>
      </w:pPr>
    </w:p>
    <w:p w:rsidR="00843C46" w:rsidRDefault="00843C46"/>
    <w:sectPr w:rsidR="0084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</w:lvl>
    <w:lvl w:ilvl="1">
      <w:start w:val="1"/>
      <w:numFmt w:val="decimal"/>
      <w:isLgl/>
      <w:lvlText w:val="%1.%2"/>
      <w:lvlJc w:val="left"/>
      <w:pPr>
        <w:ind w:left="1097" w:hanging="360"/>
      </w:pPr>
    </w:lvl>
    <w:lvl w:ilvl="2">
      <w:start w:val="1"/>
      <w:numFmt w:val="decimal"/>
      <w:isLgl/>
      <w:lvlText w:val="%1.%2.%3"/>
      <w:lvlJc w:val="left"/>
      <w:pPr>
        <w:ind w:left="1457" w:hanging="720"/>
      </w:pPr>
    </w:lvl>
    <w:lvl w:ilvl="3">
      <w:start w:val="1"/>
      <w:numFmt w:val="decimal"/>
      <w:isLgl/>
      <w:lvlText w:val="%1.%2.%3.%4"/>
      <w:lvlJc w:val="left"/>
      <w:pPr>
        <w:ind w:left="1817" w:hanging="1080"/>
      </w:pPr>
    </w:lvl>
    <w:lvl w:ilvl="4">
      <w:start w:val="1"/>
      <w:numFmt w:val="decimal"/>
      <w:isLgl/>
      <w:lvlText w:val="%1.%2.%3.%4.%5"/>
      <w:lvlJc w:val="left"/>
      <w:pPr>
        <w:ind w:left="1817" w:hanging="1080"/>
      </w:pPr>
    </w:lvl>
    <w:lvl w:ilvl="5">
      <w:start w:val="1"/>
      <w:numFmt w:val="decimal"/>
      <w:isLgl/>
      <w:lvlText w:val="%1.%2.%3.%4.%5.%6"/>
      <w:lvlJc w:val="left"/>
      <w:pPr>
        <w:ind w:left="2177" w:hanging="1440"/>
      </w:pPr>
    </w:lvl>
    <w:lvl w:ilvl="6">
      <w:start w:val="1"/>
      <w:numFmt w:val="decimal"/>
      <w:isLgl/>
      <w:lvlText w:val="%1.%2.%3.%4.%5.%6.%7"/>
      <w:lvlJc w:val="left"/>
      <w:pPr>
        <w:ind w:left="2177" w:hanging="1440"/>
      </w:p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6"/>
    <w:rsid w:val="00750E46"/>
    <w:rsid w:val="00843C46"/>
    <w:rsid w:val="00C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D60D-B373-47B3-A35C-35C4579B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2246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semiHidden/>
    <w:locked/>
    <w:rsid w:val="00C22468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5">
    <w:name w:val="Normal (Web)"/>
    <w:aliases w:val="_а_Е’__ (дќа) И’ц_1,_а_Е’__ (дќа) И’ц_ И’ц_,___С¬__ (_x_) ÷¬__1,___С¬__ (_x_) ÷¬__ ÷¬__"/>
    <w:next w:val="a"/>
    <w:link w:val="a4"/>
    <w:semiHidden/>
    <w:unhideWhenUsed/>
    <w:qFormat/>
    <w:rsid w:val="00C22468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66530/60b9f2291f27bfbb8b1b8270ff888276d66bb1e8/" TargetMode="External"/><Relationship Id="rId13" Type="http://schemas.openxmlformats.org/officeDocument/2006/relationships/hyperlink" Target="https://www.consultant.ru/document/cons_doc_LAW_487004/d0fe25e9eec7e98d807da6114b709867b861c07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7004/fd124f15b66ff38c859fefc0c6d3cb7c87eaecba/" TargetMode="External"/><Relationship Id="rId12" Type="http://schemas.openxmlformats.org/officeDocument/2006/relationships/hyperlink" Target="https://www.consultant.ru/document/cons_doc_LAW_442435/30b3f8c55f65557c253227a65b908cc075ce114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585B2920086027DD4C50E9D6DDF7887FC141B520345E29E473EBFC79f8F" TargetMode="External"/><Relationship Id="rId11" Type="http://schemas.openxmlformats.org/officeDocument/2006/relationships/hyperlink" Target="https://www.consultant.ru/document/cons_doc_LAW_495137/0df55120032a62dbb9f5793d06448e4132c1ac0e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87004/f38414963ae59427ec8be2bc300dca5f050524a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66530/60b9f2291f27bfbb8b1b8270ff888276d66bb1e8/" TargetMode="External"/><Relationship Id="rId14" Type="http://schemas.openxmlformats.org/officeDocument/2006/relationships/hyperlink" Target="https://www.consultant.ru/document/cons_doc_LAW_503698/b5999463f66d15b2deb5c1203d23e86f3d994bf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2025-12-09T10:02:00Z</dcterms:created>
  <dcterms:modified xsi:type="dcterms:W3CDTF">2025-12-09T10:03:00Z</dcterms:modified>
</cp:coreProperties>
</file>